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 imaging of microvasculature within bone and peri-implant tissues</w:t>
      </w:r>
    </w:p>
    <w:p>
      <w:pPr>
        <w:pStyle w:val="FirstParagraph"/>
      </w:pPr>
      <w:r>
        <w:rPr>
          <w:i/>
          <w:iCs/>
        </w:rPr>
        <w:t xml:space="preserve">Version</w:t>
      </w:r>
      <w:r>
        <w:rPr>
          <w:i/>
          <w:iCs/>
        </w:rPr>
        <w:t xml:space="preserve"> </w:t>
      </w:r>
      <w:hyperlink r:id="rId20">
        <w:r>
          <w:rPr>
            <w:rStyle w:val="VerbatimChar"/>
            <w:i/>
            <w:iCs/>
          </w:rPr>
          <w:t xml:space="preserve">v4.0</w:t>
        </w:r>
      </w:hyperlink>
      <w:r>
        <w:rPr>
          <w:i/>
          <w:iCs/>
        </w:rPr>
        <w:t xml:space="preserve"> </w:t>
      </w:r>
      <w:r>
        <w:rPr>
          <w:i/>
          <w:iCs/>
        </w:rPr>
        <w:t xml:space="preserve">of this manuscript was submitted to the</w:t>
      </w:r>
      <w:r>
        <w:rPr>
          <w:i/>
          <w:iCs/>
        </w:rPr>
        <w:t xml:space="preserve"> </w:t>
      </w:r>
      <w:hyperlink r:id="rId21">
        <w:r>
          <w:rPr>
            <w:rStyle w:val="Hyperlink"/>
            <w:i/>
            <w:iCs/>
          </w:rPr>
          <w:t xml:space="preserve">Tomography of Materials and Structures</w:t>
        </w:r>
      </w:hyperlink>
      <w:r>
        <w:rPr>
          <w:i/>
          <w:iCs/>
        </w:rPr>
        <w:t xml:space="preserve"> </w:t>
      </w:r>
      <w:r>
        <w:rPr>
          <w:i/>
          <w:iCs/>
        </w:rPr>
        <w:t xml:space="preserve">and is available as a preprint at bioRχiv with the DOI</w:t>
      </w:r>
      <w:r>
        <w:rPr>
          <w:i/>
          <w:iCs/>
        </w:rPr>
        <w:t xml:space="preserve"> </w:t>
      </w:r>
      <w:hyperlink r:id="rId22">
        <w:r>
          <w:rPr>
            <w:rStyle w:val="Hyperlink"/>
            <w:i/>
            <w:iCs/>
          </w:rPr>
          <w:t xml:space="preserve">10.1101/2023.03.08.531678</w:t>
        </w:r>
      </w:hyperlink>
      <w:r>
        <w:rPr>
          <w:i/>
          <w:iCs/>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microct-ana-unibe-ch/microvasculature-manuscript@d554325</w:t>
        </w:r>
      </w:hyperlink>
      <w:r>
        <w:t xml:space="preserve"> </w:t>
      </w:r>
      <w:r>
        <w:t xml:space="preserve">on March 7,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
          <w:bCs/>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
          <w:bCs/>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
          <w:bCs/>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
          <w:bCs/>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
          <w:bCs/>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
          <w:bCs/>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
          <w:bCs/>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
          <w:bCs/>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
          <w:bCs/>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
          <w:bCs/>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
          <w:bCs/>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
          <w:bCs/>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
          <w:bCs/>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
          <w:bCs/>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 ?? 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104" w:name="fig:1"/>
    <w:p>
      <w:pPr>
        <w:pStyle w:val="CaptionedFigure"/>
      </w:pPr>
      <w:r>
        <w:drawing>
          <wp:inline>
            <wp:extent cx="5943600" cy="3922042"/>
            <wp:effectExtent b="0" l="0" r="0" t="0"/>
            <wp:docPr descr="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fig:"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p>
    <w:p>
      <w:pPr>
        <w:pStyle w:val="ImageCaption"/>
      </w:pPr>
      <w:r>
        <w:rPr>
          <w:b/>
          <w:bCs/>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104"/>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 ?? 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109" w:name="fig:2"/>
    <w:p>
      <w:pPr>
        <w:pStyle w:val="CaptionedFigure"/>
      </w:pPr>
      <w:r>
        <w:drawing>
          <wp:inline>
            <wp:extent cx="5943600" cy="6095480"/>
            <wp:effectExtent b="0" l="0" r="0" t="0"/>
            <wp:docPr descr="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fig:"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p>
    <w:p>
      <w:pPr>
        <w:pStyle w:val="ImageCaption"/>
      </w:pPr>
      <w:r>
        <w:rPr>
          <w:b/>
          <w:bCs/>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
          <w:iCs/>
        </w:rPr>
        <w:t xml:space="preserve">central sinus</w:t>
      </w:r>
      <w:r>
        <w:t xml:space="preserve"> </w:t>
      </w:r>
      <w:r>
        <w:t xml:space="preserve">(CS)) is also improved.</w:t>
      </w:r>
      <w:r>
        <w:t xml:space="preserve"> </w:t>
      </w:r>
      <w:r>
        <w:t xml:space="preserve">At the external surface of the tibia, supplying arteries are visible (</w:t>
      </w:r>
      <w:r>
        <w:rPr>
          <w:i/>
          <w:iCs/>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109"/>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 ??, Panel A).</w:t>
      </w:r>
      <w:r>
        <w:t xml:space="preserve"> </w:t>
      </w:r>
      <w:r>
        <w:t xml:space="preserve">The harvested and fixated murine hind limb (4 % PFA at 4 °C) was then imaged using a desktop microCT scanner (SkyScan 1272, control software 1.1.19, Bruker microCT N.V., Kontich, Belgium) (Fig. ??)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 ??).</w:t>
      </w:r>
    </w:p>
    <w:bookmarkStart w:id="114" w:name="fig:3"/>
    <w:p>
      <w:pPr>
        <w:pStyle w:val="CaptionedFigure"/>
      </w:pPr>
      <w:r>
        <w:drawing>
          <wp:inline>
            <wp:extent cx="5943600" cy="4304140"/>
            <wp:effectExtent b="0" l="0" r="0" t="0"/>
            <wp:docPr descr="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fig:"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p>
    <w:p>
      <w:pPr>
        <w:pStyle w:val="ImageCaption"/>
      </w:pPr>
      <w:r>
        <w:rPr>
          <w:b/>
          <w:bCs/>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114"/>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 ??),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 ??).</w:t>
      </w:r>
    </w:p>
    <w:bookmarkStart w:id="119" w:name="fig:4"/>
    <w:p>
      <w:pPr>
        <w:pStyle w:val="CaptionedFigure"/>
      </w:pPr>
      <w:r>
        <w:drawing>
          <wp:inline>
            <wp:extent cx="5943600" cy="11952208"/>
            <wp:effectExtent b="0" l="0" r="0" t="0"/>
            <wp:docPr descr="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fig:"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p>
    <w:p>
      <w:pPr>
        <w:pStyle w:val="ImageCaption"/>
      </w:pPr>
      <w:r>
        <w:rPr>
          <w:b/>
          <w:bCs/>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119"/>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 ??).</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124" w:name="fig:5"/>
    <w:p>
      <w:pPr>
        <w:pStyle w:val="CaptionedFigure"/>
      </w:pPr>
      <w:r>
        <w:drawing>
          <wp:inline>
            <wp:extent cx="5943600" cy="6021563"/>
            <wp:effectExtent b="0" l="0" r="0" t="0"/>
            <wp:docPr descr="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fig:"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p>
    <w:p>
      <w:pPr>
        <w:pStyle w:val="ImageCaption"/>
      </w:pPr>
      <w:r>
        <w:rPr>
          <w:b/>
          <w:bCs/>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124"/>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 ??),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 ??, Panel C.</w:t>
      </w:r>
      <w:r>
        <w:t xml:space="preserve"> </w:t>
      </w:r>
      <w:r>
        <w:t xml:space="preserve">Tomographic imaging of such samples and straightforward segmentation of features of interest without cumbersome post-processing (Fig. ??, Panel D) is enabled without requiring a decalcification step.</w:t>
      </w:r>
    </w:p>
    <w:bookmarkStart w:id="128" w:name="fig:6"/>
    <w:p>
      <w:pPr>
        <w:pStyle w:val="CaptionedFigure"/>
      </w:pPr>
      <w:r>
        <w:drawing>
          <wp:inline>
            <wp:extent cx="5703169" cy="3602644"/>
            <wp:effectExtent b="0" l="0" r="0" t="0"/>
            <wp:docPr descr="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fig:"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p>
    <w:p>
      <w:pPr>
        <w:pStyle w:val="ImageCaption"/>
      </w:pPr>
      <w:r>
        <w:rPr>
          <w:b/>
          <w:bCs/>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128"/>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 ??).</w:t>
      </w:r>
      <w:r>
        <w:t xml:space="preserve"> </w:t>
      </w:r>
      <w:r>
        <w:t xml:space="preserve">While decalcification can improve contrast (see Fig. ??),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 ??).</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 ?? C’).</w:t>
      </w:r>
      <w:r>
        <w:t xml:space="preserve"> </w:t>
      </w:r>
      <w:r>
        <w:t xml:space="preserve">Such changes allow a non-complicated segmentation of bone and μAngiofil based on the combined histogram (Fig. ?? C’’).</w:t>
      </w:r>
    </w:p>
    <w:bookmarkStart w:id="132" w:name="fig:7"/>
    <w:p>
      <w:pPr>
        <w:pStyle w:val="CaptionedFigure"/>
      </w:pPr>
      <w:r>
        <w:drawing>
          <wp:inline>
            <wp:extent cx="5943600" cy="7912728"/>
            <wp:effectExtent b="0" l="0" r="0" t="0"/>
            <wp:docPr descr="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fig:"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p>
    <w:p>
      <w:pPr>
        <w:pStyle w:val="ImageCaption"/>
      </w:pPr>
      <w:r>
        <w:rPr>
          <w:b/>
          <w:bCs/>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132"/>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 ??).”**</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 ??).</w:t>
      </w:r>
      <w:r>
        <w:t xml:space="preserve"> </w:t>
      </w:r>
      <w:r>
        <w:t xml:space="preserve">While effective, this approach does not always yield optimal results (e.g., Fig. ??).</w:t>
      </w:r>
      <w:r>
        <w:t xml:space="preserve"> </w:t>
      </w:r>
      <w:r>
        <w:t xml:space="preserve">Although decalcification is a viable option for quite some studies, a dual-energy scanning technique offers a more efficient solution (Fig. ??).</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 ??).</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 ??).</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 ??).</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 ??).</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 ?? &amp; ??).</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ayout w:type="fixed"/>
        <w:tblLook w:firstRow="1" w:lastRow="0" w:firstColumn="0" w:lastColumn="0" w:noHBand="0" w:noVBand="0" w:val="0020"/>
      </w:tblPr>
      <w:tblGrid>
        <w:gridCol w:w="3960"/>
        <w:gridCol w:w="3960"/>
      </w:tblGrid>
      <w:tr>
        <w:trPr>
          <w:tblHeader w:val="on"/>
        </w:trPr>
        <w:tc>
          <w:tcPr/>
          <w:p>
            <w:pPr>
              <w:pStyle w:val="Compact"/>
            </w:pPr>
            <w:r>
              <w:t xml:space="preserve">Author</w:t>
            </w:r>
          </w:p>
        </w:tc>
        <w:tc>
          <w:tcPr/>
          <w:p>
            <w:pPr>
              <w:pStyle w:val="Compact"/>
            </w:pPr>
            <w:r>
              <w:t xml:space="preserve">Contributions</w:t>
            </w:r>
          </w:p>
        </w:tc>
      </w:tr>
      <w:tr>
        <w:tc>
          <w:tcPr/>
          <w:p>
            <w:pPr>
              <w:pStyle w:val="Compact"/>
            </w:pPr>
            <w:r>
              <w:t xml:space="preserve">David Haberthür</w:t>
            </w:r>
          </w:p>
        </w:tc>
        <w:tc>
          <w:tcPr/>
          <w:p>
            <w:pPr>
              <w:pStyle w:val="Compact"/>
            </w:pPr>
            <w:r>
              <w:t xml:space="preserve">Data curation; Formal analysis; Investigation; Project administration; Software; Validation; Visualization; Writing – original draft; Writing – review &amp; editing</w:t>
            </w:r>
          </w:p>
        </w:tc>
      </w:tr>
      <w:tr>
        <w:tc>
          <w:tcPr/>
          <w:p>
            <w:pPr>
              <w:pStyle w:val="Compact"/>
            </w:pPr>
            <w:r>
              <w:t xml:space="preserve">Oleksiy-Zakhar Khoma</w:t>
            </w:r>
          </w:p>
        </w:tc>
        <w:tc>
          <w:tcPr/>
          <w:p>
            <w:pPr>
              <w:pStyle w:val="Compact"/>
            </w:pPr>
            <w:r>
              <w:t xml:space="preserve">Data curation; Formal analysis; Investigation; Project administration; Software; Validation; Visualization; Writing – original draft; Writing – review &amp; editing</w:t>
            </w:r>
          </w:p>
        </w:tc>
      </w:tr>
      <w:tr>
        <w:tc>
          <w:tcPr/>
          <w:p>
            <w:pPr>
              <w:pStyle w:val="Compact"/>
            </w:pPr>
            <w:r>
              <w:t xml:space="preserve">Tim Hoessly</w:t>
            </w:r>
          </w:p>
        </w:tc>
        <w:tc>
          <w:tcPr/>
          <w:p>
            <w:pPr>
              <w:pStyle w:val="Compact"/>
            </w:pPr>
            <w:r>
              <w:t xml:space="preserve">Data curation; Investigation; Writing – review &amp; editing</w:t>
            </w:r>
          </w:p>
        </w:tc>
      </w:tr>
      <w:tr>
        <w:tc>
          <w:tcPr/>
          <w:p>
            <w:pPr>
              <w:pStyle w:val="Compact"/>
            </w:pPr>
            <w:r>
              <w:t xml:space="preserve">Eugenio Zoni</w:t>
            </w:r>
          </w:p>
        </w:tc>
        <w:tc>
          <w:tcPr/>
          <w:p>
            <w:pPr>
              <w:pStyle w:val="Compact"/>
            </w:pPr>
            <w:r>
              <w:t xml:space="preserve">Investigation; Methodology; Resources; Writing – review &amp; editing</w:t>
            </w:r>
          </w:p>
        </w:tc>
      </w:tr>
      <w:tr>
        <w:tc>
          <w:tcPr/>
          <w:p>
            <w:pPr>
              <w:pStyle w:val="Compact"/>
            </w:pPr>
            <w:r>
              <w:t xml:space="preserve">Marianna Kruithof-de Julio</w:t>
            </w:r>
          </w:p>
        </w:tc>
        <w:tc>
          <w:tcPr/>
          <w:p>
            <w:pPr>
              <w:pStyle w:val="Compact"/>
            </w:pPr>
            <w:r>
              <w:t xml:space="preserve">Methodology; Resources; Writing – review &amp; editing</w:t>
            </w:r>
          </w:p>
        </w:tc>
      </w:tr>
      <w:tr>
        <w:tc>
          <w:tcPr/>
          <w:p>
            <w:pPr>
              <w:pStyle w:val="Compact"/>
            </w:pPr>
            <w:r>
              <w:t xml:space="preserve">Stewart D. Ryan</w:t>
            </w:r>
          </w:p>
        </w:tc>
        <w:tc>
          <w:tcPr/>
          <w:p>
            <w:pPr>
              <w:pStyle w:val="Compact"/>
            </w:pPr>
            <w:r>
              <w:t xml:space="preserve">Resources; Writing – review &amp; editing</w:t>
            </w:r>
          </w:p>
        </w:tc>
      </w:tr>
      <w:tr>
        <w:tc>
          <w:tcPr/>
          <w:p>
            <w:pPr>
              <w:pStyle w:val="Compact"/>
            </w:pPr>
            <w:r>
              <w:t xml:space="preserve">Myriam Grunewald</w:t>
            </w:r>
          </w:p>
        </w:tc>
        <w:tc>
          <w:tcPr/>
          <w:p>
            <w:pPr>
              <w:pStyle w:val="Compact"/>
            </w:pPr>
            <w:r>
              <w:t xml:space="preserve">Investigation; Methodology; Resources; Writing – review &amp; editing</w:t>
            </w:r>
          </w:p>
        </w:tc>
      </w:tr>
      <w:tr>
        <w:tc>
          <w:tcPr/>
          <w:p>
            <w:pPr>
              <w:pStyle w:val="Compact"/>
            </w:pPr>
            <w:r>
              <w:t xml:space="preserve">Benjamin Bellón</w:t>
            </w:r>
          </w:p>
        </w:tc>
        <w:tc>
          <w:tcPr/>
          <w:p>
            <w:pPr>
              <w:pStyle w:val="Compact"/>
            </w:pPr>
            <w:r>
              <w:t xml:space="preserve">Investigation; Methodology; Writing – review &amp; editing</w:t>
            </w:r>
          </w:p>
        </w:tc>
      </w:tr>
      <w:tr>
        <w:tc>
          <w:tcPr/>
          <w:p>
            <w:pPr>
              <w:pStyle w:val="Compact"/>
            </w:pPr>
            <w:r>
              <w:t xml:space="preserve">Rebecca Sandgren</w:t>
            </w:r>
          </w:p>
        </w:tc>
        <w:tc>
          <w:tcPr/>
          <w:p>
            <w:pPr>
              <w:pStyle w:val="Compact"/>
            </w:pPr>
            <w:r>
              <w:t xml:space="preserve">Investigation; Writing – review &amp; editing</w:t>
            </w:r>
          </w:p>
        </w:tc>
      </w:tr>
      <w:tr>
        <w:tc>
          <w:tcPr/>
          <w:p>
            <w:pPr>
              <w:pStyle w:val="Compact"/>
            </w:pPr>
            <w:r>
              <w:t xml:space="preserve">Stephan Handschuh</w:t>
            </w:r>
          </w:p>
        </w:tc>
        <w:tc>
          <w:tcPr/>
          <w:p>
            <w:pPr>
              <w:pStyle w:val="Compact"/>
            </w:pPr>
            <w:r>
              <w:t xml:space="preserve">Methodology; Writing – review &amp; editing</w:t>
            </w:r>
          </w:p>
        </w:tc>
      </w:tr>
      <w:tr>
        <w:tc>
          <w:tcPr/>
          <w:p>
            <w:pPr>
              <w:pStyle w:val="Compact"/>
            </w:pPr>
            <w:r>
              <w:t xml:space="preserve">Benjamin E. Pippenger</w:t>
            </w:r>
          </w:p>
        </w:tc>
        <w:tc>
          <w:tcPr/>
          <w:p>
            <w:pPr>
              <w:pStyle w:val="Compact"/>
            </w:pPr>
            <w:r>
              <w:t xml:space="preserve">Funding acquisition; Investigation; Methodology; Resources; Writing – review &amp; editing</w:t>
            </w:r>
          </w:p>
        </w:tc>
      </w:tr>
      <w:tr>
        <w:tc>
          <w:tcPr/>
          <w:p>
            <w:pPr>
              <w:pStyle w:val="Compact"/>
            </w:pPr>
            <w:r>
              <w:t xml:space="preserve">Dieter Bosshardt</w:t>
            </w:r>
          </w:p>
        </w:tc>
        <w:tc>
          <w:tcPr/>
          <w:p>
            <w:pPr>
              <w:pStyle w:val="Compact"/>
            </w:pPr>
            <w:r>
              <w:t xml:space="preserve">Methodology; Writing – review &amp; editing</w:t>
            </w:r>
          </w:p>
        </w:tc>
      </w:tr>
      <w:tr>
        <w:tc>
          <w:tcPr/>
          <w:p>
            <w:pPr>
              <w:pStyle w:val="Compact"/>
            </w:pPr>
            <w:r>
              <w:t xml:space="preserve">Valentin Djonov</w:t>
            </w:r>
          </w:p>
        </w:tc>
        <w:tc>
          <w:tcPr/>
          <w:p>
            <w:pPr>
              <w:pStyle w:val="Compact"/>
            </w:pPr>
            <w:r>
              <w:t xml:space="preserve">Conceptualization; Funding acquisition; Resources; Writing – review &amp; editing</w:t>
            </w:r>
          </w:p>
        </w:tc>
      </w:tr>
      <w:tr>
        <w:tc>
          <w:tcPr/>
          <w:p>
            <w:pPr>
              <w:pStyle w:val="Compact"/>
            </w:pPr>
            <w:r>
              <w:t xml:space="preserve">Ruslan Hlushchuk</w:t>
            </w:r>
          </w:p>
        </w:tc>
        <w:tc>
          <w:tcPr/>
          <w:p>
            <w:pPr>
              <w:pStyle w:val="Compac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on"/>
        </w:trPr>
        <w:tc>
          <w:tcPr/>
          <w:p>
            <w:pPr>
              <w:pStyle w:val="Compact"/>
            </w:pPr>
            <w:r>
              <w:t xml:space="preserve">Author</w:t>
            </w:r>
          </w:p>
        </w:tc>
        <w:tc>
          <w:tcPr/>
          <w:p>
            <w:pPr>
              <w:pStyle w:val="Compact"/>
            </w:pPr>
            <w:r>
              <w:t xml:space="preserve">Conflict</w:t>
            </w:r>
          </w:p>
        </w:tc>
      </w:tr>
      <w:tr>
        <w:tc>
          <w:tcPr/>
          <w:p>
            <w:pPr>
              <w:pStyle w:val="Compact"/>
            </w:pPr>
            <w:r>
              <w:t xml:space="preserve">Benjamin Bellón</w:t>
            </w:r>
          </w:p>
        </w:tc>
        <w:tc>
          <w:tcPr/>
          <w:p>
            <w:pPr>
              <w:pStyle w:val="Compact"/>
            </w:pPr>
            <w:r>
              <w:t xml:space="preserve">Employed by a company producing dental implants</w:t>
            </w:r>
          </w:p>
        </w:tc>
      </w:tr>
      <w:tr>
        <w:tc>
          <w:tcPr/>
          <w:p>
            <w:pPr>
              <w:pStyle w:val="Compact"/>
            </w:pPr>
            <w:r>
              <w:t xml:space="preserve">Benjamin E. Pippenger</w:t>
            </w:r>
          </w:p>
        </w:tc>
        <w:tc>
          <w:tcPr/>
          <w:p>
            <w:pPr>
              <w:pStyle w:val="Compac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44">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
          <w:iCs/>
        </w:rPr>
        <w:t xml:space="preserve">all</w:t>
      </w:r>
      <w:r>
        <w:t xml:space="preserve"> </w:t>
      </w:r>
      <w:r>
        <w:t xml:space="preserve">the log files of</w:t>
      </w:r>
      <w:r>
        <w:t xml:space="preserve"> </w:t>
      </w:r>
      <w:r>
        <w:rPr>
          <w:i/>
          <w:iCs/>
        </w:rPr>
        <w:t xml:space="preserve">all</w:t>
      </w:r>
      <w:r>
        <w:t xml:space="preserve"> </w:t>
      </w:r>
      <w:r>
        <w:t xml:space="preserve">the scans we performed.</w:t>
      </w:r>
      <w:r>
        <w:t xml:space="preserve"> </w:t>
      </w:r>
      <w:r>
        <w:t xml:space="preserve">A copy of each log file is available</w:t>
      </w:r>
      <w:r>
        <w:t xml:space="preserve"> </w:t>
      </w:r>
      <w:hyperlink r:id="rId146">
        <w:r>
          <w:rPr>
            <w:rStyle w:val="Hyperlink"/>
          </w:rPr>
          <w:t xml:space="preserve">online</w:t>
        </w:r>
      </w:hyperlink>
      <w:r>
        <w:t xml:space="preserve">.</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50"/>
  <w:embedSystemFonts/>
  <w:proofState w:grammar="clean" w:spelling="clean"/>
  <w:stylePaneFormatFilter w:allStyles="0" w:alternateStyleNames="0" w:clearFormatting="0" w:customStyles="0" w:directFormattingOnNumbering="0" w:directFormattingOnParagraphs="0" w:directFormattingOnRuns="0" w:directFormattingOnTables="0" w:headingStyles="0" w:latentStyles="1" w:numberingStyles="0" w:stylesInUse="0" w:tableStyles="0" w:top3HeadingStyles="0" w:val="0004" w:visibleStyles="0"/>
  <w:doNotTrackMoves/>
  <w:defaultTabStop w:val="720"/>
  <w:drawingGridHorizontalSpacing w:val="360"/>
  <w:drawingGridVerticalSpacing w:val="360"/>
  <w:displayHorizontalDrawingGridEvery w:val="0"/>
  <w:displayVerticalDrawingGridEvery w:val="0"/>
  <w:characterSpacingControl w:val="doNotCompress"/>
  <w:savePreviewPicture/>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D07"/>
    <w:rsid w:val="00011C8B"/>
    <w:rsid w:val="000D0DB1"/>
    <w:rsid w:val="001A0A61"/>
    <w:rsid w:val="002C0205"/>
    <w:rsid w:val="002E757C"/>
    <w:rsid w:val="00316091"/>
    <w:rsid w:val="00371FDE"/>
    <w:rsid w:val="003F02CC"/>
    <w:rsid w:val="00443643"/>
    <w:rsid w:val="0045149C"/>
    <w:rsid w:val="00484830"/>
    <w:rsid w:val="004C3088"/>
    <w:rsid w:val="004E29B3"/>
    <w:rsid w:val="00590D07"/>
    <w:rsid w:val="005E7C97"/>
    <w:rsid w:val="006165E4"/>
    <w:rsid w:val="006764A2"/>
    <w:rsid w:val="006E43F9"/>
    <w:rsid w:val="00784D58"/>
    <w:rsid w:val="007D46E5"/>
    <w:rsid w:val="00816895"/>
    <w:rsid w:val="008B3011"/>
    <w:rsid w:val="008C6903"/>
    <w:rsid w:val="008D6863"/>
    <w:rsid w:val="008E3717"/>
    <w:rsid w:val="00917F19"/>
    <w:rsid w:val="00920B49"/>
    <w:rsid w:val="00946B5E"/>
    <w:rsid w:val="00966CDD"/>
    <w:rsid w:val="009A4D38"/>
    <w:rsid w:val="009C74F9"/>
    <w:rsid w:val="00A103BA"/>
    <w:rsid w:val="00AD6AA4"/>
    <w:rsid w:val="00B50BE0"/>
    <w:rsid w:val="00B86B75"/>
    <w:rsid w:val="00B97DB2"/>
    <w:rsid w:val="00BC48D5"/>
    <w:rsid w:val="00C36279"/>
    <w:rsid w:val="00CC2B66"/>
    <w:rsid w:val="00D34DF9"/>
    <w:rsid w:val="00E315A3"/>
    <w:rsid w:val="00E9076B"/>
  </w:rsids>
  <w:themeFontLang w:val="en-US"/>
  <w:clrSchemeMapping w:accent1="accent1" w:accent2="accent2" w:accent3="accent3" w:accent4="accent4" w:accent5="accent5" w:accent6="accent6" w:bg1="light1" w:bg2="light2" w:followedHyperlink="followedHyperlink" w:hyperlink="hyperlink" w:t1="dark1" w:t2="dark2"/>
  <w:shapeDefaults>
    <o:shapedefaults spidmax="1026" v:ext="edit"/>
    <o:shapelayout v:ext="edit">
      <o:idmap data="1" v:ext="edit"/>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d554325bed09987b86fdbcc12fab1ecd1503d7c8#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d554325bed09987b86fdbcc12fab1ecd1503d7c8"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554325bed09987b86fdbcc12fab1ecd1503d7c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 TargetMode="External" /><Relationship Type="http://schemas.openxmlformats.org/officeDocument/2006/relationships/hyperlink" Id="rId144"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4.0...d554325bed09987b86fdbcc12fab1ecd1503d7c8#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d554325bed09987b86fdbcc12fab1ecd1503d7c8"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d554325bed09987b86fdbcc12fab1ecd1503d7c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2025-03-07T11:35:44Z</dcterms:created>
  <dcterms:modified xsi:type="dcterms:W3CDTF">2025-03-07T11:35:44Z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